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FDC" w:rsidRPr="000A7C53" w:rsidRDefault="00286FDC" w:rsidP="000A7C53">
      <w:pPr>
        <w:shd w:val="clear" w:color="auto" w:fill="FFFFFF"/>
        <w:spacing w:before="100" w:beforeAutospacing="1" w:after="100" w:afterAutospacing="1" w:line="240" w:lineRule="auto"/>
        <w:jc w:val="center"/>
        <w:textAlignment w:val="baseline"/>
        <w:outlineLvl w:val="0"/>
        <w:rPr>
          <w:rFonts w:ascii="Helvetica" w:eastAsia="Times New Roman" w:hAnsi="Helvetica" w:cs="Helvetica"/>
          <w:b/>
          <w:bCs/>
          <w:color w:val="102A43"/>
          <w:spacing w:val="-15"/>
          <w:kern w:val="36"/>
          <w:sz w:val="36"/>
          <w:szCs w:val="48"/>
          <w:lang w:eastAsia="es-ES"/>
        </w:rPr>
      </w:pPr>
      <w:r w:rsidRPr="000A7C53">
        <w:rPr>
          <w:rFonts w:ascii="Helvetica" w:eastAsia="Times New Roman" w:hAnsi="Helvetica" w:cs="Helvetica"/>
          <w:b/>
          <w:bCs/>
          <w:color w:val="102A43"/>
          <w:spacing w:val="-15"/>
          <w:kern w:val="36"/>
          <w:sz w:val="36"/>
          <w:szCs w:val="48"/>
          <w:lang w:eastAsia="es-ES"/>
        </w:rPr>
        <w:t xml:space="preserve">La AEMPS autoriza el CAR-T ARI-0001, un CAR-T académico, desarrollado por Inmunología del Hospital </w:t>
      </w:r>
      <w:proofErr w:type="spellStart"/>
      <w:r w:rsidRPr="000A7C53">
        <w:rPr>
          <w:rFonts w:ascii="Helvetica" w:eastAsia="Times New Roman" w:hAnsi="Helvetica" w:cs="Helvetica"/>
          <w:b/>
          <w:bCs/>
          <w:color w:val="102A43"/>
          <w:spacing w:val="-15"/>
          <w:kern w:val="36"/>
          <w:sz w:val="36"/>
          <w:szCs w:val="48"/>
          <w:lang w:eastAsia="es-ES"/>
        </w:rPr>
        <w:t>Clínic</w:t>
      </w:r>
      <w:proofErr w:type="spellEnd"/>
      <w:r w:rsidRPr="000A7C53">
        <w:rPr>
          <w:rFonts w:ascii="Helvetica" w:eastAsia="Times New Roman" w:hAnsi="Helvetica" w:cs="Helvetica"/>
          <w:b/>
          <w:bCs/>
          <w:color w:val="102A43"/>
          <w:spacing w:val="-15"/>
          <w:kern w:val="36"/>
          <w:sz w:val="36"/>
          <w:szCs w:val="48"/>
          <w:lang w:eastAsia="es-ES"/>
        </w:rPr>
        <w:t xml:space="preserve"> para pacientes adultos con leucemia </w:t>
      </w:r>
      <w:proofErr w:type="spellStart"/>
      <w:r w:rsidRPr="000A7C53">
        <w:rPr>
          <w:rFonts w:ascii="Helvetica" w:eastAsia="Times New Roman" w:hAnsi="Helvetica" w:cs="Helvetica"/>
          <w:b/>
          <w:bCs/>
          <w:color w:val="102A43"/>
          <w:spacing w:val="-15"/>
          <w:kern w:val="36"/>
          <w:sz w:val="36"/>
          <w:szCs w:val="48"/>
          <w:lang w:eastAsia="es-ES"/>
        </w:rPr>
        <w:t>linfoblástica</w:t>
      </w:r>
      <w:proofErr w:type="spellEnd"/>
      <w:r w:rsidRPr="000A7C53">
        <w:rPr>
          <w:rFonts w:ascii="Helvetica" w:eastAsia="Times New Roman" w:hAnsi="Helvetica" w:cs="Helvetica"/>
          <w:b/>
          <w:bCs/>
          <w:color w:val="102A43"/>
          <w:spacing w:val="-15"/>
          <w:kern w:val="36"/>
          <w:sz w:val="36"/>
          <w:szCs w:val="48"/>
          <w:lang w:eastAsia="es-ES"/>
        </w:rPr>
        <w:t xml:space="preserve"> aguda</w:t>
      </w:r>
    </w:p>
    <w:p w:rsidR="003C2637" w:rsidRDefault="003C2637" w:rsidP="00286FDC">
      <w:pPr>
        <w:pStyle w:val="NormalWeb"/>
        <w:shd w:val="clear" w:color="auto" w:fill="FFFFFF"/>
        <w:spacing w:before="0" w:after="0"/>
        <w:jc w:val="both"/>
        <w:textAlignment w:val="baseline"/>
        <w:rPr>
          <w:rFonts w:ascii="Helvetica" w:hAnsi="Helvetica" w:cs="Helvetica"/>
          <w:color w:val="102A43"/>
          <w:sz w:val="27"/>
          <w:szCs w:val="27"/>
        </w:rPr>
      </w:pPr>
      <w:bookmarkStart w:id="0" w:name="_GoBack"/>
      <w:bookmarkEnd w:id="0"/>
    </w:p>
    <w:p w:rsidR="00286FDC" w:rsidRDefault="00286FDC" w:rsidP="00286FDC">
      <w:pPr>
        <w:pStyle w:val="NormalWeb"/>
        <w:shd w:val="clear" w:color="auto" w:fill="FFFFFF"/>
        <w:spacing w:before="0" w:after="0"/>
        <w:jc w:val="both"/>
        <w:textAlignment w:val="baseline"/>
        <w:rPr>
          <w:rFonts w:ascii="Helvetica" w:hAnsi="Helvetica" w:cs="Helvetica"/>
          <w:color w:val="102A43"/>
          <w:sz w:val="27"/>
          <w:szCs w:val="27"/>
        </w:rPr>
      </w:pPr>
      <w:r>
        <w:rPr>
          <w:rFonts w:ascii="Helvetica" w:hAnsi="Helvetica" w:cs="Helvetica"/>
          <w:color w:val="102A43"/>
          <w:sz w:val="27"/>
          <w:szCs w:val="27"/>
        </w:rPr>
        <w:t>El CAR-T (</w:t>
      </w:r>
      <w:proofErr w:type="spellStart"/>
      <w:r>
        <w:rPr>
          <w:rStyle w:val="nfasis"/>
          <w:rFonts w:ascii="inherit" w:hAnsi="inherit" w:cs="Helvetica"/>
          <w:color w:val="102A43"/>
          <w:sz w:val="27"/>
          <w:szCs w:val="27"/>
          <w:bdr w:val="none" w:sz="0" w:space="0" w:color="auto" w:frame="1"/>
        </w:rPr>
        <w:t>Chimeric</w:t>
      </w:r>
      <w:proofErr w:type="spellEnd"/>
      <w:r>
        <w:rPr>
          <w:rStyle w:val="nfasis"/>
          <w:rFonts w:ascii="inherit" w:hAnsi="inherit" w:cs="Helvetica"/>
          <w:color w:val="102A43"/>
          <w:sz w:val="27"/>
          <w:szCs w:val="27"/>
          <w:bdr w:val="none" w:sz="0" w:space="0" w:color="auto" w:frame="1"/>
        </w:rPr>
        <w:t xml:space="preserve"> </w:t>
      </w:r>
      <w:proofErr w:type="spellStart"/>
      <w:r>
        <w:rPr>
          <w:rStyle w:val="nfasis"/>
          <w:rFonts w:ascii="inherit" w:hAnsi="inherit" w:cs="Helvetica"/>
          <w:color w:val="102A43"/>
          <w:sz w:val="27"/>
          <w:szCs w:val="27"/>
          <w:bdr w:val="none" w:sz="0" w:space="0" w:color="auto" w:frame="1"/>
        </w:rPr>
        <w:t>Antigen</w:t>
      </w:r>
      <w:proofErr w:type="spellEnd"/>
      <w:r>
        <w:rPr>
          <w:rStyle w:val="nfasis"/>
          <w:rFonts w:ascii="inherit" w:hAnsi="inherit" w:cs="Helvetica"/>
          <w:color w:val="102A43"/>
          <w:sz w:val="27"/>
          <w:szCs w:val="27"/>
          <w:bdr w:val="none" w:sz="0" w:space="0" w:color="auto" w:frame="1"/>
        </w:rPr>
        <w:t xml:space="preserve"> Recetor T-</w:t>
      </w:r>
      <w:proofErr w:type="spellStart"/>
      <w:r>
        <w:rPr>
          <w:rStyle w:val="nfasis"/>
          <w:rFonts w:ascii="inherit" w:hAnsi="inherit" w:cs="Helvetica"/>
          <w:color w:val="102A43"/>
          <w:sz w:val="27"/>
          <w:szCs w:val="27"/>
          <w:bdr w:val="none" w:sz="0" w:space="0" w:color="auto" w:frame="1"/>
        </w:rPr>
        <w:t>Cell</w:t>
      </w:r>
      <w:proofErr w:type="spellEnd"/>
      <w:r>
        <w:rPr>
          <w:rFonts w:ascii="Helvetica" w:hAnsi="Helvetica" w:cs="Helvetica"/>
          <w:color w:val="102A43"/>
          <w:sz w:val="27"/>
          <w:szCs w:val="27"/>
        </w:rPr>
        <w:t xml:space="preserve">) es un tipo de terapia celular y génica en la que el paciente se convierte en su propio donante. Consiste en modificar los linfocitos T del paciente para que tengan la capacidad de atacar a las células tumorales. </w:t>
      </w:r>
    </w:p>
    <w:p w:rsidR="00286FDC" w:rsidRDefault="00286FDC" w:rsidP="00286FDC">
      <w:pPr>
        <w:pStyle w:val="NormalWeb"/>
        <w:shd w:val="clear" w:color="auto" w:fill="FFFFFF"/>
        <w:spacing w:before="0" w:after="0"/>
        <w:jc w:val="both"/>
        <w:textAlignment w:val="baseline"/>
        <w:rPr>
          <w:rFonts w:ascii="Helvetica" w:hAnsi="Helvetica" w:cs="Helvetica"/>
          <w:color w:val="102A43"/>
          <w:sz w:val="27"/>
          <w:szCs w:val="27"/>
        </w:rPr>
      </w:pPr>
      <w:r>
        <w:rPr>
          <w:rFonts w:ascii="Helvetica" w:hAnsi="Helvetica" w:cs="Helvetica"/>
          <w:color w:val="102A43"/>
          <w:sz w:val="27"/>
          <w:szCs w:val="27"/>
        </w:rPr>
        <w:t xml:space="preserve">El Hospital </w:t>
      </w:r>
      <w:proofErr w:type="spellStart"/>
      <w:r>
        <w:rPr>
          <w:rFonts w:ascii="Helvetica" w:hAnsi="Helvetica" w:cs="Helvetica"/>
          <w:color w:val="102A43"/>
          <w:sz w:val="27"/>
          <w:szCs w:val="27"/>
        </w:rPr>
        <w:t>Clinic</w:t>
      </w:r>
      <w:proofErr w:type="spellEnd"/>
      <w:r>
        <w:rPr>
          <w:rFonts w:ascii="Helvetica" w:hAnsi="Helvetica" w:cs="Helvetica"/>
          <w:color w:val="102A43"/>
          <w:sz w:val="27"/>
          <w:szCs w:val="27"/>
        </w:rPr>
        <w:t xml:space="preserve">, junto con el Hospital </w:t>
      </w:r>
      <w:proofErr w:type="spellStart"/>
      <w:r>
        <w:rPr>
          <w:rFonts w:ascii="Helvetica" w:hAnsi="Helvetica" w:cs="Helvetica"/>
          <w:color w:val="102A43"/>
          <w:sz w:val="27"/>
          <w:szCs w:val="27"/>
        </w:rPr>
        <w:t>Sant</w:t>
      </w:r>
      <w:proofErr w:type="spellEnd"/>
      <w:r>
        <w:rPr>
          <w:rFonts w:ascii="Helvetica" w:hAnsi="Helvetica" w:cs="Helvetica"/>
          <w:color w:val="102A43"/>
          <w:sz w:val="27"/>
          <w:szCs w:val="27"/>
        </w:rPr>
        <w:t xml:space="preserve"> Joan de </w:t>
      </w:r>
      <w:proofErr w:type="spellStart"/>
      <w:r>
        <w:rPr>
          <w:rFonts w:ascii="Helvetica" w:hAnsi="Helvetica" w:cs="Helvetica"/>
          <w:color w:val="102A43"/>
          <w:sz w:val="27"/>
          <w:szCs w:val="27"/>
        </w:rPr>
        <w:t>Déu</w:t>
      </w:r>
      <w:proofErr w:type="spellEnd"/>
      <w:r>
        <w:rPr>
          <w:rFonts w:ascii="Helvetica" w:hAnsi="Helvetica" w:cs="Helvetica"/>
          <w:color w:val="102A43"/>
          <w:sz w:val="27"/>
          <w:szCs w:val="27"/>
        </w:rPr>
        <w:t xml:space="preserve">, con el conocimiento aportado por el equipo de Inmunología del Dr. </w:t>
      </w:r>
      <w:proofErr w:type="spellStart"/>
      <w:r w:rsidRPr="004B7B93">
        <w:rPr>
          <w:rFonts w:ascii="Helvetica" w:hAnsi="Helvetica" w:cs="Helvetica"/>
          <w:b/>
          <w:color w:val="102A43"/>
          <w:sz w:val="27"/>
          <w:szCs w:val="27"/>
        </w:rPr>
        <w:t>Manel</w:t>
      </w:r>
      <w:proofErr w:type="spellEnd"/>
      <w:r w:rsidRPr="004B7B93">
        <w:rPr>
          <w:rFonts w:ascii="Helvetica" w:hAnsi="Helvetica" w:cs="Helvetica"/>
          <w:b/>
          <w:color w:val="102A43"/>
          <w:sz w:val="27"/>
          <w:szCs w:val="27"/>
        </w:rPr>
        <w:t xml:space="preserve"> Juan</w:t>
      </w:r>
      <w:r>
        <w:rPr>
          <w:rFonts w:ascii="Helvetica" w:hAnsi="Helvetica" w:cs="Helvetica"/>
          <w:color w:val="102A43"/>
          <w:sz w:val="27"/>
          <w:szCs w:val="27"/>
        </w:rPr>
        <w:t>, ha desarrollado este tipo de terapia propia independiente de la industria. Este tipo de desarrollo se denomina CAR-T académico. Mediante la aféresis, se han obtenido células T encargadas de la respuesta inmunitaria y que se han reprogramado genéticamente para que, cuando sean transfundidos de nuevo al paciente, puedan reconocer específicamente las células tumorales y atacarlas. Pasados unos pocos días (tres semanas como mucho) ya se puede observar la respuesta en el paciente.</w:t>
      </w:r>
    </w:p>
    <w:p w:rsidR="00286FDC" w:rsidRDefault="00286FDC" w:rsidP="00286FDC">
      <w:pPr>
        <w:pStyle w:val="NormalWeb"/>
        <w:shd w:val="clear" w:color="auto" w:fill="FFFFFF"/>
        <w:spacing w:before="0" w:after="0"/>
        <w:jc w:val="both"/>
        <w:textAlignment w:val="baseline"/>
        <w:rPr>
          <w:rFonts w:ascii="Helvetica" w:hAnsi="Helvetica" w:cs="Helvetica"/>
          <w:color w:val="102A43"/>
          <w:sz w:val="27"/>
          <w:szCs w:val="27"/>
        </w:rPr>
      </w:pPr>
      <w:r>
        <w:rPr>
          <w:rFonts w:ascii="Helvetica" w:hAnsi="Helvetica" w:cs="Helvetica"/>
          <w:color w:val="102A43"/>
          <w:sz w:val="27"/>
          <w:szCs w:val="27"/>
        </w:rPr>
        <w:t>El equipo del Dr. </w:t>
      </w:r>
      <w:proofErr w:type="spellStart"/>
      <w:r>
        <w:rPr>
          <w:rStyle w:val="Textoennegrita"/>
          <w:rFonts w:ascii="inherit" w:eastAsiaTheme="majorEastAsia" w:hAnsi="inherit" w:cs="Helvetica"/>
          <w:color w:val="102A43"/>
          <w:sz w:val="27"/>
          <w:szCs w:val="27"/>
          <w:bdr w:val="none" w:sz="0" w:space="0" w:color="auto" w:frame="1"/>
        </w:rPr>
        <w:t>Manel</w:t>
      </w:r>
      <w:proofErr w:type="spellEnd"/>
      <w:r>
        <w:rPr>
          <w:rStyle w:val="Textoennegrita"/>
          <w:rFonts w:ascii="inherit" w:eastAsiaTheme="majorEastAsia" w:hAnsi="inherit" w:cs="Helvetica"/>
          <w:color w:val="102A43"/>
          <w:sz w:val="27"/>
          <w:szCs w:val="27"/>
          <w:bdr w:val="none" w:sz="0" w:space="0" w:color="auto" w:frame="1"/>
        </w:rPr>
        <w:t xml:space="preserve"> Juan</w:t>
      </w:r>
      <w:r>
        <w:rPr>
          <w:rFonts w:ascii="Helvetica" w:hAnsi="Helvetica" w:cs="Helvetica"/>
          <w:color w:val="102A43"/>
          <w:sz w:val="27"/>
          <w:szCs w:val="27"/>
        </w:rPr>
        <w:t>, desarrolló un nuevo CAR-T CD19 a partir del anticuerpo monoclonal propio para modificar los linfocitos T. Los estudios preclínicos demostraron que el CAR-T ARI-0001 era capaz de controlar por completo la progresión de la enfermedad en modelos animales y que su eficacia era similar a la de otros CAR-T disponibles. “</w:t>
      </w:r>
      <w:r>
        <w:rPr>
          <w:rStyle w:val="nfasis"/>
          <w:rFonts w:ascii="inherit" w:hAnsi="inherit" w:cs="Helvetica"/>
          <w:color w:val="102A43"/>
          <w:sz w:val="27"/>
          <w:szCs w:val="27"/>
          <w:bdr w:val="none" w:sz="0" w:space="0" w:color="auto" w:frame="1"/>
        </w:rPr>
        <w:t>El método de preparación utilizado para la obtención de nuestro CAR-T es robusto y reproducible y permite rebajar el coste de producción de la terapia para hacerla asequible a las instituciones académicas y que esté disponible para todos los pacientes</w:t>
      </w:r>
      <w:r>
        <w:rPr>
          <w:rFonts w:ascii="Helvetica" w:hAnsi="Helvetica" w:cs="Helvetica"/>
          <w:color w:val="102A43"/>
          <w:sz w:val="27"/>
          <w:szCs w:val="27"/>
        </w:rPr>
        <w:t>”, apunta el Dr. </w:t>
      </w:r>
      <w:r>
        <w:rPr>
          <w:rStyle w:val="Textoennegrita"/>
          <w:rFonts w:ascii="inherit" w:eastAsiaTheme="majorEastAsia" w:hAnsi="inherit" w:cs="Helvetica"/>
          <w:color w:val="102A43"/>
          <w:sz w:val="27"/>
          <w:szCs w:val="27"/>
          <w:bdr w:val="none" w:sz="0" w:space="0" w:color="auto" w:frame="1"/>
        </w:rPr>
        <w:t>Juan</w:t>
      </w:r>
      <w:r>
        <w:rPr>
          <w:rFonts w:ascii="Helvetica" w:hAnsi="Helvetica" w:cs="Helvetica"/>
          <w:color w:val="102A43"/>
          <w:sz w:val="27"/>
          <w:szCs w:val="27"/>
        </w:rPr>
        <w:t>.</w:t>
      </w:r>
    </w:p>
    <w:p w:rsidR="00286FDC" w:rsidRDefault="00286FDC" w:rsidP="00286FDC">
      <w:pPr>
        <w:pStyle w:val="NormalWeb"/>
        <w:shd w:val="clear" w:color="auto" w:fill="FFFFFF"/>
        <w:spacing w:before="0" w:after="0"/>
        <w:jc w:val="both"/>
        <w:textAlignment w:val="baseline"/>
        <w:rPr>
          <w:rFonts w:ascii="Helvetica" w:hAnsi="Helvetica" w:cs="Helvetica"/>
          <w:color w:val="102A43"/>
          <w:sz w:val="27"/>
          <w:szCs w:val="27"/>
        </w:rPr>
      </w:pPr>
      <w:r>
        <w:rPr>
          <w:rFonts w:ascii="Helvetica" w:hAnsi="Helvetica" w:cs="Helvetica"/>
          <w:color w:val="102A43"/>
          <w:sz w:val="27"/>
          <w:szCs w:val="27"/>
        </w:rPr>
        <w:t>El conocimiento de la respuesta inmunitaria es esencial para el desarrollo de estos tipos de terapias celulares en la que no sólo se debe considerar el efecto directo de estas células, sino todas las consecuencias sobre los distintos componentes de nuestro sistema inmunitario que pueden verse modificados.</w:t>
      </w:r>
    </w:p>
    <w:p w:rsidR="00DC7294" w:rsidRPr="00532DFB" w:rsidRDefault="00DC7294">
      <w:pPr>
        <w:rPr>
          <w:rFonts w:ascii="Arial" w:eastAsia="Times New Roman" w:hAnsi="Arial" w:cs="Arial"/>
          <w:lang w:eastAsia="es-ES"/>
        </w:rPr>
      </w:pPr>
    </w:p>
    <w:p w:rsidR="00BA6281" w:rsidRDefault="00BA6281"/>
    <w:sectPr w:rsidR="00BA628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7B50F5"/>
    <w:multiLevelType w:val="hybridMultilevel"/>
    <w:tmpl w:val="1C0A2E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281"/>
    <w:rsid w:val="000A7C53"/>
    <w:rsid w:val="001A1702"/>
    <w:rsid w:val="001D465F"/>
    <w:rsid w:val="00286FDC"/>
    <w:rsid w:val="003C2637"/>
    <w:rsid w:val="00532DFB"/>
    <w:rsid w:val="00577768"/>
    <w:rsid w:val="00A93F51"/>
    <w:rsid w:val="00BA6281"/>
    <w:rsid w:val="00DC7294"/>
    <w:rsid w:val="00FB7C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764EA"/>
  <w15:chartTrackingRefBased/>
  <w15:docId w15:val="{D8BBA8F5-1876-4119-8472-7362E1CCC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6FDC"/>
  </w:style>
  <w:style w:type="paragraph" w:styleId="Ttulo1">
    <w:name w:val="heading 1"/>
    <w:basedOn w:val="Normal"/>
    <w:link w:val="Ttulo1Car"/>
    <w:uiPriority w:val="9"/>
    <w:qFormat/>
    <w:rsid w:val="00BA62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4">
    <w:name w:val="heading 4"/>
    <w:basedOn w:val="Normal"/>
    <w:next w:val="Normal"/>
    <w:link w:val="Ttulo4Car"/>
    <w:uiPriority w:val="9"/>
    <w:semiHidden/>
    <w:unhideWhenUsed/>
    <w:qFormat/>
    <w:rsid w:val="00BA628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A6281"/>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unhideWhenUsed/>
    <w:rsid w:val="00BA628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4Car">
    <w:name w:val="Título 4 Car"/>
    <w:basedOn w:val="Fuentedeprrafopredeter"/>
    <w:link w:val="Ttulo4"/>
    <w:uiPriority w:val="9"/>
    <w:semiHidden/>
    <w:rsid w:val="00BA6281"/>
    <w:rPr>
      <w:rFonts w:asciiTheme="majorHAnsi" w:eastAsiaTheme="majorEastAsia" w:hAnsiTheme="majorHAnsi" w:cstheme="majorBidi"/>
      <w:i/>
      <w:iCs/>
      <w:color w:val="2E74B5" w:themeColor="accent1" w:themeShade="BF"/>
    </w:rPr>
  </w:style>
  <w:style w:type="character" w:styleId="Textoennegrita">
    <w:name w:val="Strong"/>
    <w:basedOn w:val="Fuentedeprrafopredeter"/>
    <w:uiPriority w:val="22"/>
    <w:qFormat/>
    <w:rsid w:val="00BA6281"/>
    <w:rPr>
      <w:b/>
      <w:bCs/>
    </w:rPr>
  </w:style>
  <w:style w:type="character" w:styleId="nfasis">
    <w:name w:val="Emphasis"/>
    <w:basedOn w:val="Fuentedeprrafopredeter"/>
    <w:uiPriority w:val="20"/>
    <w:qFormat/>
    <w:rsid w:val="00BA6281"/>
    <w:rPr>
      <w:i/>
      <w:iCs/>
    </w:rPr>
  </w:style>
  <w:style w:type="paragraph" w:styleId="Prrafodelista">
    <w:name w:val="List Paragraph"/>
    <w:basedOn w:val="Normal"/>
    <w:uiPriority w:val="34"/>
    <w:qFormat/>
    <w:rsid w:val="00A93F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062266">
      <w:bodyDiv w:val="1"/>
      <w:marLeft w:val="0"/>
      <w:marRight w:val="0"/>
      <w:marTop w:val="0"/>
      <w:marBottom w:val="0"/>
      <w:divBdr>
        <w:top w:val="none" w:sz="0" w:space="0" w:color="auto"/>
        <w:left w:val="none" w:sz="0" w:space="0" w:color="auto"/>
        <w:bottom w:val="none" w:sz="0" w:space="0" w:color="auto"/>
        <w:right w:val="none" w:sz="0" w:space="0" w:color="auto"/>
      </w:divBdr>
      <w:divsChild>
        <w:div w:id="359164700">
          <w:marLeft w:val="0"/>
          <w:marRight w:val="0"/>
          <w:marTop w:val="0"/>
          <w:marBottom w:val="0"/>
          <w:divBdr>
            <w:top w:val="none" w:sz="0" w:space="0" w:color="auto"/>
            <w:left w:val="none" w:sz="0" w:space="0" w:color="auto"/>
            <w:bottom w:val="none" w:sz="0" w:space="0" w:color="auto"/>
            <w:right w:val="none" w:sz="0" w:space="0" w:color="auto"/>
          </w:divBdr>
        </w:div>
      </w:divsChild>
    </w:div>
    <w:div w:id="1627542255">
      <w:bodyDiv w:val="1"/>
      <w:marLeft w:val="0"/>
      <w:marRight w:val="0"/>
      <w:marTop w:val="0"/>
      <w:marBottom w:val="0"/>
      <w:divBdr>
        <w:top w:val="none" w:sz="0" w:space="0" w:color="auto"/>
        <w:left w:val="none" w:sz="0" w:space="0" w:color="auto"/>
        <w:bottom w:val="none" w:sz="0" w:space="0" w:color="auto"/>
        <w:right w:val="none" w:sz="0" w:space="0" w:color="auto"/>
      </w:divBdr>
      <w:divsChild>
        <w:div w:id="1915432806">
          <w:marLeft w:val="0"/>
          <w:marRight w:val="0"/>
          <w:marTop w:val="0"/>
          <w:marBottom w:val="0"/>
          <w:divBdr>
            <w:top w:val="none" w:sz="0" w:space="0" w:color="auto"/>
            <w:left w:val="none" w:sz="0" w:space="0" w:color="auto"/>
            <w:bottom w:val="none" w:sz="0" w:space="0" w:color="auto"/>
            <w:right w:val="none" w:sz="0" w:space="0" w:color="auto"/>
          </w:divBdr>
        </w:div>
      </w:divsChild>
    </w:div>
    <w:div w:id="196006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1665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Sevilla</dc:creator>
  <cp:keywords/>
  <dc:description/>
  <cp:lastModifiedBy>Esther Sevilla</cp:lastModifiedBy>
  <cp:revision>4</cp:revision>
  <dcterms:created xsi:type="dcterms:W3CDTF">2021-02-12T07:21:00Z</dcterms:created>
  <dcterms:modified xsi:type="dcterms:W3CDTF">2021-02-12T07:22:00Z</dcterms:modified>
</cp:coreProperties>
</file>